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pPr>
        <w:pStyle w:val="9"/>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pPr>
        <w:pStyle w:val="9"/>
        <w:shd w:val="clear" w:color="auto" w:fill="FFFFFF"/>
        <w:spacing w:before="0" w:beforeAutospacing="0" w:after="0" w:afterAutospacing="0" w:line="400" w:lineRule="exact"/>
        <w:rPr>
          <w:rFonts w:hint="default"/>
          <w:color w:val="000000"/>
          <w:sz w:val="21"/>
          <w:szCs w:val="21"/>
          <w:highlight w:val="none"/>
        </w:rPr>
      </w:pP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pPr>
        <w:pStyle w:val="10"/>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pPr>
        <w:pStyle w:val="9"/>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7"/>
        <w:tblW w:w="10050" w:type="dxa"/>
        <w:tblInd w:w="-8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5"/>
        <w:gridCol w:w="2475"/>
        <w:gridCol w:w="1020"/>
        <w:gridCol w:w="1395"/>
        <w:gridCol w:w="124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苗木品种</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规格：</w:t>
            </w:r>
          </w:p>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地径</w:t>
            </w: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、苗高</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w:t>
            </w:r>
          </w:p>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冠幅、土球（</w:t>
            </w:r>
            <w:r>
              <w:rPr>
                <w:rFonts w:hint="default" w:ascii="Times New Roman" w:hAnsi="Times New Roman" w:eastAsia="方正仿宋_GBK" w:cs="Times New Roman"/>
                <w:color w:val="auto"/>
                <w:kern w:val="2"/>
                <w:sz w:val="21"/>
                <w:szCs w:val="21"/>
                <w:lang w:val="en-US" w:eastAsia="zh-CN" w:bidi="ar-SA"/>
              </w:rPr>
              <w:t>cm</w:t>
            </w:r>
            <w:r>
              <w:rPr>
                <w:rFonts w:hint="eastAsia" w:ascii="Times New Roman" w:hAnsi="Times New Roman" w:eastAsia="方正仿宋_GBK" w:cs="Times New Roman"/>
                <w:color w:val="auto"/>
                <w:kern w:val="2"/>
                <w:sz w:val="21"/>
                <w:szCs w:val="21"/>
                <w:lang w:val="en-US" w:eastAsia="zh-CN" w:bidi="ar-SA"/>
              </w:rPr>
              <w:t>）</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数量</w:t>
            </w:r>
          </w:p>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（株）</w:t>
            </w:r>
          </w:p>
        </w:tc>
        <w:tc>
          <w:tcPr>
            <w:tcW w:w="1395" w:type="dxa"/>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单</w:t>
            </w:r>
            <w:r>
              <w:rPr>
                <w:rFonts w:hint="eastAsia" w:ascii="Times New Roman" w:hAnsi="Times New Roman" w:eastAsia="方正仿宋_GBK" w:cs="Times New Roman"/>
                <w:color w:val="auto"/>
                <w:kern w:val="2"/>
                <w:sz w:val="21"/>
                <w:szCs w:val="21"/>
                <w:lang w:val="en-US" w:eastAsia="zh-CN" w:bidi="ar-SA"/>
              </w:rPr>
              <w:t>价</w:t>
            </w:r>
          </w:p>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（元</w:t>
            </w:r>
            <w:r>
              <w:rPr>
                <w:rFonts w:hint="default" w:ascii="Times New Roman" w:hAnsi="Times New Roman" w:eastAsia="方正仿宋_GBK" w:cs="Times New Roman"/>
                <w:color w:val="auto"/>
                <w:kern w:val="2"/>
                <w:sz w:val="21"/>
                <w:szCs w:val="21"/>
                <w:lang w:val="en-US" w:eastAsia="zh-CN" w:bidi="ar-SA"/>
              </w:rPr>
              <w:t>/</w:t>
            </w:r>
            <w:r>
              <w:rPr>
                <w:rFonts w:hint="eastAsia" w:ascii="Times New Roman" w:hAnsi="Times New Roman" w:eastAsia="方正仿宋_GBK" w:cs="Times New Roman"/>
                <w:color w:val="auto"/>
                <w:kern w:val="2"/>
                <w:sz w:val="21"/>
                <w:szCs w:val="21"/>
                <w:lang w:val="en-US" w:eastAsia="zh-CN" w:bidi="ar-SA"/>
              </w:rPr>
              <w:t>株）</w:t>
            </w:r>
          </w:p>
        </w:tc>
        <w:tc>
          <w:tcPr>
            <w:tcW w:w="1245" w:type="dxa"/>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总价（元</w:t>
            </w:r>
            <w:r>
              <w:rPr>
                <w:rFonts w:hint="default" w:ascii="Times New Roman" w:hAnsi="Times New Roman" w:eastAsia="方正仿宋_GBK" w:cs="Times New Roman"/>
                <w:color w:val="auto"/>
                <w:kern w:val="2"/>
                <w:sz w:val="21"/>
                <w:szCs w:val="21"/>
                <w:lang w:val="en-US" w:eastAsia="zh-CN" w:bidi="ar-SA"/>
              </w:rPr>
              <w:t xml:space="preserve"> </w:t>
            </w:r>
            <w:r>
              <w:rPr>
                <w:rFonts w:hint="eastAsia" w:ascii="Times New Roman" w:hAnsi="Times New Roman" w:eastAsia="方正仿宋_GBK" w:cs="Times New Roman"/>
                <w:color w:val="auto"/>
                <w:kern w:val="2"/>
                <w:sz w:val="21"/>
                <w:szCs w:val="21"/>
                <w:lang w:val="en-US" w:eastAsia="zh-CN" w:bidi="ar-SA"/>
              </w:rPr>
              <w:t>）</w:t>
            </w:r>
          </w:p>
        </w:tc>
        <w:tc>
          <w:tcPr>
            <w:tcW w:w="25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桢楠</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≥0.8cm，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≥80cm</w:t>
            </w:r>
          </w:p>
          <w:p>
            <w:pPr>
              <w:pStyle w:val="2"/>
              <w:ind w:left="0" w:leftChars="0"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容器规格≥（12*12）</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32261</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b/>
                <w:bCs/>
                <w:color w:val="auto"/>
                <w:kern w:val="2"/>
                <w:sz w:val="21"/>
                <w:szCs w:val="21"/>
                <w:lang w:val="en-US" w:eastAsia="zh-CN" w:bidi="ar-SA"/>
              </w:rPr>
              <w:t>容器苗</w:t>
            </w:r>
            <w:r>
              <w:rPr>
                <w:rFonts w:hint="eastAsia" w:ascii="Times New Roman" w:hAnsi="Times New Roman" w:eastAsia="方正仿宋_GBK" w:cs="Times New Roman"/>
                <w:color w:val="auto"/>
                <w:kern w:val="2"/>
                <w:sz w:val="21"/>
                <w:szCs w:val="21"/>
                <w:lang w:val="en-US" w:eastAsia="zh-CN" w:bidi="ar-SA"/>
              </w:rPr>
              <w:t>，容器苗育苗过程中要抑制根顶端分生组织生长，容器不破碎，并形成良好根团，容器苗主根不得穿杯。苗木单价含运费、转运费、含税，运输范围为璧山区，运输至项目实施地点最近的货车可至公路旁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青冈</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≥0.5cm，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≥50cm</w:t>
            </w:r>
          </w:p>
          <w:p>
            <w:pPr>
              <w:pStyle w:val="2"/>
              <w:ind w:left="0" w:leftChars="0"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容器规格≥（8*10）</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8654</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南方红豆杉</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≥0.65cm，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≥60cm</w:t>
            </w:r>
          </w:p>
          <w:p>
            <w:pPr>
              <w:pStyle w:val="2"/>
              <w:ind w:left="0" w:leftChars="0"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容器规格≥（8*10）</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2763</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榉木</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≥0.7cm，</w:t>
            </w:r>
            <w:bookmarkStart w:id="0" w:name="_GoBack"/>
            <w:bookmarkEnd w:id="0"/>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≥60cm</w:t>
            </w:r>
          </w:p>
          <w:p>
            <w:pPr>
              <w:pStyle w:val="2"/>
              <w:ind w:left="0" w:leftChars="0" w:firstLine="0" w:firstLineChars="0"/>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容器规格≥（12*12）</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3576</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桢楠</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≥3cm，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150cm-200cm</w:t>
            </w:r>
          </w:p>
          <w:p>
            <w:pPr>
              <w:pStyle w:val="2"/>
              <w:ind w:left="0" w:leftChars="0" w:firstLine="0" w:firstLineChars="0"/>
              <w:jc w:val="center"/>
              <w:rPr>
                <w:rFonts w:hint="eastAsia"/>
                <w:lang w:val="en-US" w:eastAsia="zh-CN"/>
              </w:rPr>
            </w:pPr>
            <w:r>
              <w:rPr>
                <w:rFonts w:hint="eastAsia" w:ascii="Times New Roman" w:hAnsi="Times New Roman" w:eastAsia="方正仿宋_GBK" w:cs="Times New Roman"/>
                <w:color w:val="auto"/>
                <w:kern w:val="2"/>
                <w:sz w:val="21"/>
                <w:szCs w:val="21"/>
                <w:lang w:val="en-US" w:eastAsia="zh-CN" w:bidi="ar-SA"/>
              </w:rPr>
              <w:t>土球≥20cm</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625</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b/>
                <w:bCs/>
                <w:color w:val="auto"/>
                <w:kern w:val="2"/>
                <w:sz w:val="21"/>
                <w:szCs w:val="21"/>
                <w:lang w:val="en-US" w:eastAsia="zh-CN" w:bidi="ar-SA"/>
              </w:rPr>
              <w:t>土球苗</w:t>
            </w:r>
            <w:r>
              <w:rPr>
                <w:rFonts w:hint="eastAsia" w:ascii="Times New Roman" w:hAnsi="Times New Roman" w:eastAsia="方正仿宋_GBK" w:cs="Times New Roman"/>
                <w:color w:val="auto"/>
                <w:kern w:val="2"/>
                <w:sz w:val="21"/>
                <w:szCs w:val="21"/>
                <w:lang w:val="en-US" w:eastAsia="zh-CN" w:bidi="ar-SA"/>
              </w:rPr>
              <w:t>，土球完整，不破损，草绳紧实，不松脱。</w:t>
            </w:r>
            <w:r>
              <w:rPr>
                <w:rFonts w:hint="default" w:ascii="Times New Roman" w:hAnsi="Times New Roman" w:eastAsia="方正仿宋_GBK" w:cs="Times New Roman"/>
                <w:color w:val="auto"/>
                <w:kern w:val="2"/>
                <w:sz w:val="21"/>
                <w:szCs w:val="21"/>
                <w:lang w:val="en-US" w:eastAsia="zh-CN" w:bidi="ar-SA"/>
              </w:rPr>
              <w:br w:type="textWrapping"/>
            </w:r>
            <w:r>
              <w:rPr>
                <w:rFonts w:hint="eastAsia" w:ascii="Times New Roman" w:hAnsi="Times New Roman" w:eastAsia="方正仿宋_GBK" w:cs="Times New Roman"/>
                <w:color w:val="auto"/>
                <w:kern w:val="2"/>
                <w:sz w:val="21"/>
                <w:szCs w:val="21"/>
                <w:lang w:val="en-US" w:eastAsia="zh-CN" w:bidi="ar-SA"/>
              </w:rPr>
              <w:t>苗木单价含运费、转运费、含税，运输范围为璧山区，运输至项目实施地点最近的货车可至公路旁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榉木</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≥3cm，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180cm-200cm，</w:t>
            </w:r>
          </w:p>
          <w:p>
            <w:pPr>
              <w:pStyle w:val="2"/>
              <w:ind w:left="0" w:leftChars="0" w:firstLine="0" w:firstLineChars="0"/>
              <w:jc w:val="center"/>
              <w:rPr>
                <w:rFonts w:hint="eastAsia"/>
                <w:lang w:val="en-US" w:eastAsia="zh-CN"/>
              </w:rPr>
            </w:pPr>
            <w:r>
              <w:rPr>
                <w:rFonts w:hint="eastAsia" w:ascii="Times New Roman" w:hAnsi="Times New Roman" w:eastAsia="方正仿宋_GBK" w:cs="Times New Roman"/>
                <w:color w:val="auto"/>
                <w:kern w:val="2"/>
                <w:sz w:val="21"/>
                <w:szCs w:val="21"/>
                <w:lang w:val="en-US" w:eastAsia="zh-CN" w:bidi="ar-SA"/>
              </w:rPr>
              <w:t>土球≥20cm</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768</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青冈</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≥3cm，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150cm-200cm，</w:t>
            </w:r>
          </w:p>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土球≥20cm</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107</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南方红豆杉</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≥3cm，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100cm-150cm，</w:t>
            </w:r>
          </w:p>
          <w:p>
            <w:pPr>
              <w:pStyle w:val="2"/>
              <w:ind w:left="0" w:leftChars="0" w:firstLine="0" w:firstLineChars="0"/>
              <w:jc w:val="center"/>
              <w:rPr>
                <w:rFonts w:hint="eastAsia"/>
                <w:lang w:val="en-US" w:eastAsia="zh-CN"/>
              </w:rPr>
            </w:pPr>
            <w:r>
              <w:rPr>
                <w:rFonts w:hint="eastAsia" w:ascii="Times New Roman" w:hAnsi="Times New Roman" w:eastAsia="方正仿宋_GBK" w:cs="Times New Roman"/>
                <w:color w:val="auto"/>
                <w:kern w:val="2"/>
                <w:sz w:val="21"/>
                <w:szCs w:val="21"/>
                <w:lang w:val="en-US" w:eastAsia="zh-CN" w:bidi="ar-SA"/>
              </w:rPr>
              <w:t>土球≥20cm，</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365</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方正仿宋_GBK" w:cs="Times New Roman"/>
                <w:color w:val="auto"/>
                <w:kern w:val="2"/>
                <w:sz w:val="21"/>
                <w:szCs w:val="21"/>
                <w:lang w:val="en-US" w:eastAsia="zh-CN" w:bidi="ar-SA"/>
              </w:rPr>
            </w:pPr>
          </w:p>
        </w:tc>
        <w:tc>
          <w:tcPr>
            <w:tcW w:w="252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水杉</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D</w:t>
            </w:r>
            <w:r>
              <w:rPr>
                <w:rFonts w:hint="eastAsia" w:ascii="Times New Roman" w:hAnsi="Times New Roman" w:eastAsia="方正仿宋_GBK" w:cs="Times New Roman"/>
                <w:color w:val="auto"/>
                <w:kern w:val="2"/>
                <w:sz w:val="21"/>
                <w:szCs w:val="21"/>
                <w:lang w:val="en-US" w:eastAsia="zh-CN" w:bidi="ar-SA"/>
              </w:rPr>
              <w:t>≥0.7cm，</w:t>
            </w:r>
            <w:r>
              <w:rPr>
                <w:rFonts w:hint="default" w:ascii="Times New Roman" w:hAnsi="Times New Roman" w:eastAsia="方正仿宋_GBK" w:cs="Times New Roman"/>
                <w:color w:val="auto"/>
                <w:kern w:val="2"/>
                <w:sz w:val="21"/>
                <w:szCs w:val="21"/>
                <w:lang w:val="en-US" w:eastAsia="zh-CN" w:bidi="ar-SA"/>
              </w:rPr>
              <w:t>H</w:t>
            </w:r>
            <w:r>
              <w:rPr>
                <w:rFonts w:hint="eastAsia" w:ascii="Times New Roman" w:hAnsi="Times New Roman" w:eastAsia="方正仿宋_GBK" w:cs="Times New Roman"/>
                <w:color w:val="auto"/>
                <w:kern w:val="2"/>
                <w:sz w:val="21"/>
                <w:szCs w:val="21"/>
                <w:lang w:val="en-US" w:eastAsia="zh-CN" w:bidi="ar-SA"/>
              </w:rPr>
              <w:t>≥60cm</w:t>
            </w: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3414</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c>
          <w:tcPr>
            <w:tcW w:w="25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b/>
                <w:bCs/>
                <w:color w:val="auto"/>
                <w:kern w:val="2"/>
                <w:sz w:val="21"/>
                <w:szCs w:val="21"/>
                <w:lang w:val="en-US" w:eastAsia="zh-CN" w:bidi="ar-SA"/>
              </w:rPr>
              <w:t>裸根苗</w:t>
            </w:r>
            <w:r>
              <w:rPr>
                <w:rFonts w:hint="eastAsia" w:ascii="Times New Roman" w:hAnsi="Times New Roman" w:eastAsia="方正仿宋_GBK" w:cs="Times New Roman"/>
                <w:color w:val="auto"/>
                <w:kern w:val="2"/>
                <w:sz w:val="21"/>
                <w:szCs w:val="21"/>
                <w:lang w:val="en-US" w:eastAsia="zh-CN" w:bidi="ar-SA"/>
              </w:rPr>
              <w:t>，根系良好，</w:t>
            </w:r>
            <w:r>
              <w:rPr>
                <w:rFonts w:hint="default" w:ascii="Times New Roman" w:hAnsi="Times New Roman" w:eastAsia="方正仿宋_GBK" w:cs="Times New Roman"/>
                <w:color w:val="auto"/>
                <w:kern w:val="2"/>
                <w:sz w:val="21"/>
                <w:szCs w:val="21"/>
                <w:lang w:val="en-US" w:eastAsia="zh-CN" w:bidi="ar-SA"/>
              </w:rPr>
              <w:t>≥5</w:t>
            </w:r>
            <w:r>
              <w:rPr>
                <w:rFonts w:hint="eastAsia" w:ascii="Times New Roman" w:hAnsi="Times New Roman" w:eastAsia="方正仿宋_GBK" w:cs="Times New Roman"/>
                <w:color w:val="auto"/>
                <w:kern w:val="2"/>
                <w:sz w:val="21"/>
                <w:szCs w:val="21"/>
                <w:lang w:val="en-US" w:eastAsia="zh-CN" w:bidi="ar-SA"/>
              </w:rPr>
              <w:t>㎝长</w:t>
            </w:r>
            <w:r>
              <w:rPr>
                <w:rFonts w:hint="default" w:ascii="Times New Roman" w:hAnsi="Times New Roman" w:eastAsia="方正仿宋_GBK" w:cs="Times New Roman"/>
                <w:color w:val="auto"/>
                <w:kern w:val="2"/>
                <w:sz w:val="21"/>
                <w:szCs w:val="21"/>
                <w:lang w:val="en-US" w:eastAsia="zh-CN" w:bidi="ar-SA"/>
              </w:rPr>
              <w:t>I</w:t>
            </w:r>
            <w:r>
              <w:rPr>
                <w:rFonts w:hint="eastAsia" w:ascii="Times New Roman" w:hAnsi="Times New Roman" w:eastAsia="方正仿宋_GBK" w:cs="Times New Roman"/>
                <w:color w:val="auto"/>
                <w:kern w:val="2"/>
                <w:sz w:val="21"/>
                <w:szCs w:val="21"/>
                <w:lang w:val="en-US" w:eastAsia="zh-CN" w:bidi="ar-SA"/>
              </w:rPr>
              <w:t>级侧根数大于等于</w:t>
            </w:r>
            <w:r>
              <w:rPr>
                <w:rFonts w:hint="default" w:ascii="Times New Roman" w:hAnsi="Times New Roman" w:eastAsia="方正仿宋_GBK" w:cs="Times New Roman"/>
                <w:color w:val="auto"/>
                <w:kern w:val="2"/>
                <w:sz w:val="21"/>
                <w:szCs w:val="21"/>
                <w:lang w:val="en-US" w:eastAsia="zh-CN" w:bidi="ar-SA"/>
              </w:rPr>
              <w:t>5</w:t>
            </w:r>
            <w:r>
              <w:rPr>
                <w:rFonts w:hint="eastAsia" w:ascii="Times New Roman" w:hAnsi="Times New Roman" w:eastAsia="方正仿宋_GBK" w:cs="Times New Roman"/>
                <w:color w:val="auto"/>
                <w:kern w:val="2"/>
                <w:sz w:val="21"/>
                <w:szCs w:val="21"/>
                <w:lang w:val="en-US" w:eastAsia="zh-CN" w:bidi="ar-SA"/>
              </w:rPr>
              <w:t>根。</w:t>
            </w:r>
            <w:r>
              <w:rPr>
                <w:rFonts w:hint="eastAsia" w:ascii="Times New Roman" w:hAnsi="Times New Roman" w:eastAsia="方正仿宋_GBK" w:cs="Times New Roman"/>
                <w:color w:val="auto"/>
                <w:kern w:val="2"/>
                <w:sz w:val="21"/>
                <w:szCs w:val="21"/>
                <w:lang w:val="en-US" w:eastAsia="zh-CN" w:bidi="ar-SA"/>
              </w:rPr>
              <w:br w:type="textWrapping"/>
            </w:r>
            <w:r>
              <w:rPr>
                <w:rFonts w:hint="eastAsia" w:ascii="Times New Roman" w:hAnsi="Times New Roman" w:eastAsia="方正仿宋_GBK" w:cs="Times New Roman"/>
                <w:color w:val="auto"/>
                <w:kern w:val="2"/>
                <w:sz w:val="21"/>
                <w:szCs w:val="21"/>
                <w:lang w:val="en-US" w:eastAsia="zh-CN" w:bidi="ar-SA"/>
              </w:rPr>
              <w:t>苗木单价含运费、转运费、含税，运输范围为璧山区，运输至项目实施地点最近的货车可至公路旁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合计</w:t>
            </w:r>
          </w:p>
        </w:tc>
        <w:tc>
          <w:tcPr>
            <w:tcW w:w="247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c>
          <w:tcPr>
            <w:tcW w:w="10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52533</w:t>
            </w:r>
          </w:p>
        </w:tc>
        <w:tc>
          <w:tcPr>
            <w:tcW w:w="139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c>
          <w:tcPr>
            <w:tcW w:w="1245"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c>
          <w:tcPr>
            <w:tcW w:w="252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Times New Roman" w:hAnsi="Times New Roman" w:eastAsia="方正仿宋_GBK" w:cs="Times New Roman"/>
                <w:color w:val="auto"/>
                <w:kern w:val="2"/>
                <w:sz w:val="21"/>
                <w:szCs w:val="21"/>
                <w:lang w:val="en-US" w:eastAsia="zh-CN" w:bidi="ar-SA"/>
              </w:rPr>
            </w:pPr>
          </w:p>
        </w:tc>
      </w:tr>
    </w:tbl>
    <w:p>
      <w:pPr>
        <w:rPr>
          <w:rFonts w:hint="eastAsia"/>
          <w:lang w:val="en-US" w:eastAsia="zh-CN"/>
        </w:rPr>
      </w:pP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w:t>
      </w:r>
      <w:r>
        <w:rPr>
          <w:rFonts w:hint="eastAsia" w:ascii="宋体" w:hAnsi="宋体"/>
          <w:color w:val="000000"/>
          <w:sz w:val="21"/>
          <w:szCs w:val="21"/>
          <w:highlight w:val="none"/>
          <w:lang w:val="en-US" w:eastAsia="zh-CN"/>
        </w:rPr>
        <w:t>上车费</w:t>
      </w:r>
      <w:r>
        <w:rPr>
          <w:rFonts w:ascii="宋体" w:hAnsi="宋体"/>
          <w:color w:val="000000"/>
          <w:sz w:val="21"/>
          <w:szCs w:val="21"/>
          <w:highlight w:val="none"/>
        </w:rPr>
        <w:t>、运输、人工费、机械机具使用费、苗木检验检疫费（若有）、利润、税金以及伴随服务（含:指导栽植管养护、病虫害防治、人员培训等）等所需的全部费用]，上述全费用综合单价在整个合同实施期间均不作调整。</w:t>
      </w:r>
    </w:p>
    <w:p>
      <w:pPr>
        <w:pStyle w:val="9"/>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pPr>
        <w:pStyle w:val="9"/>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pPr>
        <w:pStyle w:val="9"/>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r>
        <w:rPr>
          <w:rFonts w:hint="eastAsia" w:ascii="宋体" w:hAnsi="宋体"/>
          <w:color w:val="000000"/>
          <w:sz w:val="21"/>
          <w:szCs w:val="21"/>
          <w:highlight w:val="none"/>
          <w:lang w:val="en-US" w:eastAsia="zh-CN"/>
        </w:rPr>
        <w:t>林木良种证明材料、</w:t>
      </w:r>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pPr>
        <w:pStyle w:val="9"/>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pPr>
        <w:pStyle w:val="12"/>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pPr>
        <w:pStyle w:val="14"/>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pPr>
        <w:pStyle w:val="12"/>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pPr>
        <w:pStyle w:val="14"/>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pPr>
        <w:pStyle w:val="14"/>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pPr>
        <w:pStyle w:val="15"/>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pPr>
        <w:pStyle w:val="15"/>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pPr>
        <w:pStyle w:val="13"/>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pPr>
        <w:pStyle w:val="15"/>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pPr>
        <w:pStyle w:val="13"/>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pPr>
        <w:pStyle w:val="13"/>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pPr>
        <w:pStyle w:val="16"/>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pPr>
        <w:pStyle w:val="16"/>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pPr>
        <w:pStyle w:val="13"/>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pPr>
        <w:pStyle w:val="13"/>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pPr>
        <w:pStyle w:val="13"/>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pPr>
        <w:pStyle w:val="13"/>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630" w:firstLineChars="300"/>
        <w:rPr>
          <w:color w:val="000000"/>
          <w:sz w:val="21"/>
          <w:szCs w:val="21"/>
          <w:highlight w:val="none"/>
        </w:rPr>
      </w:pPr>
    </w:p>
    <w:p>
      <w:pPr>
        <w:pStyle w:val="13"/>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pPr>
        <w:pStyle w:val="13"/>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pPr>
        <w:widowControl/>
        <w:spacing w:line="360" w:lineRule="auto"/>
        <w:ind w:firstLine="3162" w:firstLineChars="1500"/>
        <w:rPr>
          <w:rFonts w:ascii="宋体" w:hAnsi="宋体"/>
          <w:b/>
          <w:color w:val="000000"/>
          <w:kern w:val="0"/>
          <w:szCs w:val="21"/>
          <w:highlight w:val="none"/>
        </w:rPr>
      </w:pPr>
    </w:p>
    <w:p>
      <w:pPr>
        <w:pStyle w:val="6"/>
        <w:rPr>
          <w:color w:val="00000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049E5D-F090-4ED1-AAA3-03495E7F98D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76ABA7-8DF0-4422-BD59-60CD62E709DC}"/>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BA961EE3-AEE6-4F21-B683-3E0CDEA26A63}"/>
  </w:font>
  <w:font w:name="等线">
    <w:panose1 w:val="02010600030101010101"/>
    <w:charset w:val="86"/>
    <w:family w:val="auto"/>
    <w:pitch w:val="default"/>
    <w:sig w:usb0="A00002BF" w:usb1="38CF7CFA" w:usb2="00000016" w:usb3="00000000" w:csb0="0004000F" w:csb1="00000000"/>
    <w:embedRegular r:id="rId4" w:fontKey="{01F94C8A-7D22-4338-85F6-E24DD6ADCA2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50E10F7"/>
    <w:rsid w:val="06964ACC"/>
    <w:rsid w:val="0ADA52E3"/>
    <w:rsid w:val="0CDA455E"/>
    <w:rsid w:val="1499323E"/>
    <w:rsid w:val="1D37200B"/>
    <w:rsid w:val="25EA249A"/>
    <w:rsid w:val="27CB17EE"/>
    <w:rsid w:val="382775AC"/>
    <w:rsid w:val="39A85146"/>
    <w:rsid w:val="3B176B31"/>
    <w:rsid w:val="3CAE5A7A"/>
    <w:rsid w:val="47CE4335"/>
    <w:rsid w:val="4DA863AD"/>
    <w:rsid w:val="4FB4044E"/>
    <w:rsid w:val="5BB45A6D"/>
    <w:rsid w:val="5C4105AC"/>
    <w:rsid w:val="68482658"/>
    <w:rsid w:val="6B31197A"/>
    <w:rsid w:val="6D7EFCDA"/>
    <w:rsid w:val="72076EC5"/>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next w:val="1"/>
    <w:autoRedefine/>
    <w:qFormat/>
    <w:uiPriority w:val="0"/>
    <w:pPr>
      <w:spacing w:line="360" w:lineRule="auto"/>
      <w:ind w:firstLine="420"/>
      <w:jc w:val="both"/>
      <w:textAlignment w:val="baseline"/>
    </w:pPr>
    <w:rPr>
      <w:rFonts w:ascii="宋体" w:hAnsi="宋体" w:eastAsia="仿宋_GB2312"/>
      <w:kern w:val="2"/>
      <w:sz w:val="24"/>
      <w:lang w:val="en-US" w:eastAsia="zh-CN" w:bidi="ar-SA"/>
    </w:rPr>
  </w:style>
  <w:style w:type="paragraph" w:customStyle="1" w:styleId="3">
    <w:name w:val="BodyText"/>
    <w:basedOn w:val="1"/>
    <w:next w:val="1"/>
    <w:autoRedefine/>
    <w:qFormat/>
    <w:uiPriority w:val="0"/>
    <w:pPr>
      <w:jc w:val="both"/>
      <w:textAlignment w:val="baseline"/>
    </w:pPr>
    <w:rPr>
      <w:rFonts w:ascii="仿宋_GB2312" w:eastAsia="仿宋_GB2312"/>
      <w:kern w:val="2"/>
      <w:sz w:val="32"/>
      <w:lang w:val="en-US" w:eastAsia="zh-CN" w:bidi="ar-SA"/>
    </w:rPr>
  </w:style>
  <w:style w:type="paragraph" w:styleId="5">
    <w:name w:val="annotation text"/>
    <w:basedOn w:val="1"/>
    <w:autoRedefine/>
    <w:qFormat/>
    <w:uiPriority w:val="0"/>
    <w:pPr>
      <w:jc w:val="left"/>
    </w:pPr>
  </w:style>
  <w:style w:type="paragraph" w:styleId="6">
    <w:name w:val="Body Text"/>
    <w:basedOn w:val="1"/>
    <w:next w:val="1"/>
    <w:autoRedefine/>
    <w:qFormat/>
    <w:uiPriority w:val="99"/>
    <w:rPr>
      <w:sz w:val="26"/>
    </w:rPr>
  </w:style>
  <w:style w:type="paragraph" w:customStyle="1" w:styleId="9">
    <w:name w:val="reader-word-layer reader-word-s1-21"/>
    <w:basedOn w:val="1"/>
    <w:autoRedefine/>
    <w:unhideWhenUsed/>
    <w:qFormat/>
    <w:uiPriority w:val="0"/>
    <w:pPr>
      <w:spacing w:before="100" w:beforeAutospacing="1" w:after="100" w:afterAutospacing="1"/>
    </w:pPr>
    <w:rPr>
      <w:rFonts w:hint="eastAsia"/>
      <w:sz w:val="24"/>
    </w:rPr>
  </w:style>
  <w:style w:type="paragraph" w:customStyle="1" w:styleId="10">
    <w:name w:val="reader-word-layer reader-word-s1-16 reader-word-s1-21 reader-word-s1-22"/>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1">
    <w:name w:val="reader-word-layer reader-word-s2-12"/>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5"/>
    <w:basedOn w:val="1"/>
    <w:autoRedefine/>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3">
    <w:name w:val="reader-word-layer reader-word-s3-13"/>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2-17"/>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5">
    <w:name w:val="reader-word-layer reader-word-s2-11"/>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6">
    <w:name w:val="reader-word-layer reader-word-s3-12"/>
    <w:basedOn w:val="1"/>
    <w:autoRedefine/>
    <w:qFormat/>
    <w:uiPriority w:val="0"/>
    <w:pPr>
      <w:widowControl/>
      <w:spacing w:before="100" w:beforeAutospacing="1" w:after="100" w:afterAutospacing="1"/>
    </w:pPr>
    <w:rPr>
      <w:rFonts w:ascii="Times New Roman" w:hAnsi="Times New Roman" w:eastAsia="宋体" w:cs="Times New Roman"/>
      <w:sz w:val="24"/>
      <w:szCs w:val="20"/>
    </w:rPr>
  </w:style>
  <w:style w:type="character" w:customStyle="1" w:styleId="17">
    <w:name w:val="font11"/>
    <w:basedOn w:val="8"/>
    <w:autoRedefine/>
    <w:qFormat/>
    <w:uiPriority w:val="0"/>
    <w:rPr>
      <w:rFonts w:hint="eastAsia" w:ascii="方正仿宋_GB2312" w:hAnsi="方正仿宋_GB2312" w:eastAsia="方正仿宋_GB2312" w:cs="方正仿宋_GB2312"/>
      <w:color w:val="000000"/>
      <w:sz w:val="24"/>
      <w:szCs w:val="24"/>
      <w:u w:val="none"/>
    </w:rPr>
  </w:style>
  <w:style w:type="character" w:customStyle="1" w:styleId="18">
    <w:name w:val="font21"/>
    <w:basedOn w:val="8"/>
    <w:autoRedefine/>
    <w:qFormat/>
    <w:uiPriority w:val="0"/>
    <w:rPr>
      <w:rFonts w:hint="default" w:ascii="Times New Roman" w:hAnsi="Times New Roman" w:cs="Times New Roman"/>
      <w:color w:val="000000"/>
      <w:sz w:val="24"/>
      <w:szCs w:val="24"/>
      <w:u w:val="none"/>
    </w:rPr>
  </w:style>
  <w:style w:type="character" w:customStyle="1" w:styleId="19">
    <w:name w:val="font51"/>
    <w:basedOn w:val="8"/>
    <w:autoRedefine/>
    <w:qFormat/>
    <w:uiPriority w:val="0"/>
    <w:rPr>
      <w:rFonts w:hint="eastAsia" w:ascii="方正仿宋_GB2312" w:hAnsi="方正仿宋_GB2312" w:eastAsia="方正仿宋_GB2312" w:cs="方正仿宋_GB2312"/>
      <w:b/>
      <w:bCs/>
      <w:color w:val="000000"/>
      <w:sz w:val="24"/>
      <w:szCs w:val="24"/>
      <w:u w:val="none"/>
    </w:rPr>
  </w:style>
  <w:style w:type="character" w:customStyle="1" w:styleId="20">
    <w:name w:val="font31"/>
    <w:basedOn w:val="8"/>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2024-03-25T08:57:49Z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214ADA2392CEB0CA0E122665EC526528_43</vt:lpwstr>
  </property>
</Properties>
</file>